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7C6B" w14:textId="77777777"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p w14:paraId="2DFBD3D0" w14:textId="77777777"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14:paraId="30F99C38" w14:textId="77777777"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2EAD90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14:paraId="36949C5D" w14:textId="77777777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14:paraId="7E3F65E3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(в городах Брест – 6, Барановичи – 2, Пинск – 2,  Ивацевичи – 1, Кобрин – 1, Пружаны – 1, Столин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6134A7F4" w14:textId="77777777" w:rsidR="008662C4" w:rsidRPr="008662C4" w:rsidRDefault="008662C4" w:rsidP="00866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14:paraId="3C1C2A76" w14:textId="77777777"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14:paraId="1F95BD2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0,4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0,3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E860AD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14:paraId="075A77C8" w14:textId="77777777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кв.м.,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14:paraId="34B1E470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14:paraId="279559AE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14:paraId="279E3C82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C8407F6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14:paraId="7032662B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14:paraId="58867EEC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14:paraId="3AC014F4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14:paraId="75F099B9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14:paraId="2A463A2E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</w:p>
    <w:p w14:paraId="6332C6CF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</w:p>
    <w:p w14:paraId="2E01D3B5" w14:textId="77777777" w:rsidR="009008A0" w:rsidRPr="008662C4" w:rsidRDefault="009008A0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7239ECC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14:paraId="4C8FBBFE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в объеме 661,7 тыс. кв. метров общей площади жилых домов </w:t>
      </w:r>
      <w:r w:rsidRPr="008662C4">
        <w:rPr>
          <w:rFonts w:ascii="Times New Roman" w:eastAsia="Calibri" w:hAnsi="Times New Roman" w:cs="Times New Roman"/>
          <w:sz w:val="30"/>
          <w:szCs w:val="30"/>
        </w:rPr>
        <w:lastRenderedPageBreak/>
        <w:t>или 101,8% от годового задания, в том числе 235,0 тыс. кв. метров для 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14:paraId="412BEED8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энергоэффективности не ниже В. </w:t>
      </w:r>
    </w:p>
    <w:p w14:paraId="4D7699B4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14:paraId="59F361EF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обеспечивается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14:paraId="6900FBF7" w14:textId="77777777"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«строительство» сложились выше аналогичного периода 2022 г. </w:t>
      </w:r>
    </w:p>
    <w:p w14:paraId="65CF3361" w14:textId="77777777"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14:paraId="58F30BB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Среднесписочной численности работников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«строительство» за январь-ноябрь 2023 г. составила 15,4 тыс. человек, темп роста – 94,2%.</w:t>
      </w:r>
    </w:p>
    <w:p w14:paraId="7F1578DE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Уровень оплаты туда в строительных организациях выше среднеобластного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г. номинальная начисленная среднемесячная заработная плата выросла на 346,1 рублей и составила 1 741,6 рубль, темп роста – 124,8%.</w:t>
      </w:r>
    </w:p>
    <w:p w14:paraId="75CAD37B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взаимоувязке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 ростом производительности труда, сохранение кадрового потенциала строительных организаций.</w:t>
      </w:r>
    </w:p>
    <w:p w14:paraId="01201930" w14:textId="77777777"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т.ч.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14:paraId="4772F18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Снижение объемов производства в снабжении электроэнергией, газом, теплом (темп роста 90,7%, за счет ввода в эксплуатацию РУП «Белорусская атомная электростанция») удалось компенсировать приростом на 11,6% в </w:t>
      </w:r>
      <w:proofErr w:type="spellStart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валообразующей</w:t>
      </w:r>
      <w:proofErr w:type="spellEnd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«Санта-Бремор» ООО (25,3%), ООО «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АгроПродукт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(14,9%).</w:t>
      </w:r>
    </w:p>
    <w:p w14:paraId="1FA8662B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14:paraId="1A643F50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14:paraId="12DDA2AD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14:paraId="5BB68CAE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14:paraId="053FD42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14:paraId="7CBA3640" w14:textId="77777777"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</w:p>
    <w:p w14:paraId="0EC038E7" w14:textId="77777777"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14:paraId="7F53AEEF" w14:textId="77777777"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14:paraId="486B0FCB" w14:textId="77777777"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14:paraId="4E49BA15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14:paraId="7D74A193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протяжение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14:paraId="7E677E75" w14:textId="77777777"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0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14:paraId="636B4AA9" w14:textId="77777777"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14:paraId="261C0E7C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14:paraId="1D6483C4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самообеспечения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</w:p>
    <w:bookmarkEnd w:id="0"/>
    <w:p w14:paraId="341FAC14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14:paraId="3E1945BF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14:paraId="6A9578FD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сельхозорганизациях,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14:paraId="034F827E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14:paraId="1C4DC390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За 2023 год темп роста валовой продукции сельского хозяйства во всех категориях хозяйств области составил 103,9% (по республике - 101,1%), в сельхозорганизациях и крестьянских (фермерских) хозяйствах – 106,5% (по республике – 102,2%).</w:t>
      </w:r>
    </w:p>
    <w:p w14:paraId="6E54301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14:paraId="2EC6162F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14:paraId="004DE08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14:paraId="46AB00D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14:paraId="294B3C1A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Область на протяжение многих лет занимает лидирующие позиции по производительности скота:</w:t>
      </w:r>
    </w:p>
    <w:p w14:paraId="464D821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14:paraId="2683B11A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14:paraId="252DEDA4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14:paraId="6E02731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14:paraId="6F05E9E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14:paraId="50EB5E1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14:paraId="70859F73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14:paraId="5142EBB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 полном объеме введен в эксплуатацию свинокомплекс в Пинском районе,</w:t>
      </w:r>
    </w:p>
    <w:p w14:paraId="0F59F63F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построено (реконструировано) 144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сенажно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-силосных траншеи, </w:t>
      </w:r>
    </w:p>
    <w:p w14:paraId="094880CB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14:paraId="3D819E2C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энергонасыщенных тракторов.</w:t>
      </w:r>
    </w:p>
    <w:p w14:paraId="309DE13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Среди крупных сельхозорганизаций с площадью земель более 20 тысяч гектаров можно выделить «Беловежский» Каменецкого района, птицефабрику «Дружба» Барановичского, «Городец-Агро» Кобринского, «Ружаны-Агро» Пружанского районов.</w:t>
      </w:r>
    </w:p>
    <w:p w14:paraId="33D4DB2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После присоединения к ОАО «Беловежский» ОАО «Отечество» Пружанского района общая земельная площадь хозяйства составила 43,3 тыс. га, в том числе сельхозугодий – 38 тыс. га. Это почти как Жабинковский или Ганцевичский район в целом.</w:t>
      </w:r>
    </w:p>
    <w:p w14:paraId="07E87CE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14:paraId="7D0B7410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14:paraId="3B70901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14:paraId="685462A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lastRenderedPageBreak/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14:paraId="08595F2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14:paraId="67A46E1A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Ассортимент цельномолочной продукции насчитывает более 200, сыров – около 100 наименований. </w:t>
      </w:r>
    </w:p>
    <w:p w14:paraId="2A20BCDB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Столине.</w:t>
      </w:r>
    </w:p>
    <w:p w14:paraId="44F9D62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14:paraId="3F988F2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14:paraId="5AB8728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14:paraId="710DA690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p w14:paraId="33BBCB23" w14:textId="77777777" w:rsidR="00A95E54" w:rsidRPr="00866CC3" w:rsidRDefault="008662C4" w:rsidP="008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Всего на экспорт поставляется более 75% произведенной молочной и 40% мясной продукции,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том числе более 60% производимого масла, около 70% сыра полутвердого, порядка 30% цельномолочной продукции, около 30% колбасных изделий.</w:t>
      </w:r>
    </w:p>
    <w:sectPr w:rsidR="00A95E54" w:rsidRPr="00866CC3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F70D" w14:textId="77777777" w:rsidR="00226261" w:rsidRDefault="00226261" w:rsidP="00866CC3">
      <w:pPr>
        <w:spacing w:after="0" w:line="240" w:lineRule="auto"/>
      </w:pPr>
      <w:r>
        <w:separator/>
      </w:r>
    </w:p>
  </w:endnote>
  <w:endnote w:type="continuationSeparator" w:id="0">
    <w:p w14:paraId="2992B994" w14:textId="77777777" w:rsidR="00226261" w:rsidRDefault="00226261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1243" w14:textId="77777777" w:rsidR="00226261" w:rsidRDefault="00226261" w:rsidP="00866CC3">
      <w:pPr>
        <w:spacing w:after="0" w:line="240" w:lineRule="auto"/>
      </w:pPr>
      <w:r>
        <w:separator/>
      </w:r>
    </w:p>
  </w:footnote>
  <w:footnote w:type="continuationSeparator" w:id="0">
    <w:p w14:paraId="4E4E5674" w14:textId="77777777" w:rsidR="00226261" w:rsidRDefault="00226261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715590"/>
      <w:docPartObj>
        <w:docPartGallery w:val="Page Numbers (Top of Page)"/>
        <w:docPartUnique/>
      </w:docPartObj>
    </w:sdtPr>
    <w:sdtContent>
      <w:p w14:paraId="68A98BE7" w14:textId="77777777"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405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B691B19" w14:textId="77777777"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3"/>
    <w:rsid w:val="0018783F"/>
    <w:rsid w:val="00226261"/>
    <w:rsid w:val="00335F7F"/>
    <w:rsid w:val="00441A11"/>
    <w:rsid w:val="004F7F8F"/>
    <w:rsid w:val="0058692B"/>
    <w:rsid w:val="006D26F5"/>
    <w:rsid w:val="008662C4"/>
    <w:rsid w:val="00866CC3"/>
    <w:rsid w:val="009008A0"/>
    <w:rsid w:val="00A10FF6"/>
    <w:rsid w:val="00A95E54"/>
    <w:rsid w:val="00B36132"/>
    <w:rsid w:val="00CD27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70B"/>
  <w15:docId w15:val="{B5C417FF-61BA-4658-B4DE-ABB1731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User</cp:lastModifiedBy>
  <cp:revision>2</cp:revision>
  <dcterms:created xsi:type="dcterms:W3CDTF">2024-02-13T05:16:00Z</dcterms:created>
  <dcterms:modified xsi:type="dcterms:W3CDTF">2024-02-13T05:16:00Z</dcterms:modified>
</cp:coreProperties>
</file>