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9A67"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14:paraId="40E53A82"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350265F1"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380DAACA" w14:textId="77777777" w:rsidR="00690D8D" w:rsidRPr="00B33C8B" w:rsidRDefault="00690D8D" w:rsidP="00690D8D">
      <w:pPr>
        <w:spacing w:after="0"/>
        <w:jc w:val="center"/>
        <w:rPr>
          <w:rFonts w:ascii="Times New Roman" w:hAnsi="Times New Roman" w:cs="Times New Roman"/>
          <w:sz w:val="30"/>
          <w:szCs w:val="30"/>
        </w:rPr>
      </w:pPr>
    </w:p>
    <w:p w14:paraId="7F5DD1DC"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4D48D3E4"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7DF5AC1D"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54D8D004"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1CB1107B"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4FD20F28"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489C4E84"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14:paraId="2F7D07C1"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6A9F3CDF"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proofErr w:type="spellStart"/>
      <w:r w:rsidRPr="0009407E">
        <w:rPr>
          <w:rFonts w:ascii="Times New Roman" w:eastAsia="Times New Roman" w:hAnsi="Times New Roman" w:cs="Times New Roman"/>
          <w:bCs/>
          <w:i/>
          <w:sz w:val="28"/>
          <w:szCs w:val="28"/>
          <w:lang w:eastAsia="zh-CN"/>
        </w:rPr>
        <w:t>Кроноспан</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ВМГ </w:t>
      </w:r>
      <w:proofErr w:type="spellStart"/>
      <w:r w:rsidRPr="0009407E">
        <w:rPr>
          <w:rFonts w:ascii="Times New Roman" w:eastAsia="Times New Roman" w:hAnsi="Times New Roman" w:cs="Times New Roman"/>
          <w:bCs/>
          <w:i/>
          <w:sz w:val="28"/>
          <w:szCs w:val="28"/>
          <w:lang w:eastAsia="zh-CN"/>
        </w:rPr>
        <w:t>Вударт</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79EF14F8"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640465C1"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17C07A1A"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4E18FAE1"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w:t>
      </w:r>
      <w:proofErr w:type="spellStart"/>
      <w:r w:rsidRPr="00C21A23">
        <w:rPr>
          <w:rFonts w:ascii="Times New Roman" w:eastAsia="Times New Roman" w:hAnsi="Times New Roman" w:cs="Times New Roman"/>
          <w:i/>
          <w:iCs/>
          <w:kern w:val="28"/>
          <w:sz w:val="28"/>
          <w:szCs w:val="28"/>
        </w:rPr>
        <w:t>Ивацевичдрев</w:t>
      </w:r>
      <w:proofErr w:type="spellEnd"/>
      <w:r w:rsidRPr="00C21A23">
        <w:rPr>
          <w:rFonts w:ascii="Times New Roman" w:eastAsia="Times New Roman" w:hAnsi="Times New Roman" w:cs="Times New Roman"/>
          <w:i/>
          <w:iCs/>
          <w:kern w:val="28"/>
          <w:sz w:val="28"/>
          <w:szCs w:val="28"/>
        </w:rPr>
        <w:t>»;</w:t>
      </w:r>
    </w:p>
    <w:p w14:paraId="2F5D75DC"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2F7F56E2"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14:paraId="4334ED66"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60843EF7"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14:paraId="4C706C8F"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w:t>
      </w:r>
      <w:proofErr w:type="spellStart"/>
      <w:r w:rsidRPr="00B10116">
        <w:rPr>
          <w:rFonts w:ascii="Times New Roman" w:eastAsia="Times New Roman" w:hAnsi="Times New Roman" w:cs="Times New Roman"/>
          <w:i/>
          <w:iCs/>
          <w:spacing w:val="-10"/>
          <w:kern w:val="28"/>
          <w:sz w:val="28"/>
          <w:szCs w:val="28"/>
        </w:rPr>
        <w:t>Могилевхимволокно</w:t>
      </w:r>
      <w:proofErr w:type="spellEnd"/>
      <w:r w:rsidRPr="00B10116">
        <w:rPr>
          <w:rFonts w:ascii="Times New Roman" w:eastAsia="Times New Roman" w:hAnsi="Times New Roman" w:cs="Times New Roman"/>
          <w:i/>
          <w:iCs/>
          <w:spacing w:val="-10"/>
          <w:kern w:val="28"/>
          <w:sz w:val="28"/>
          <w:szCs w:val="28"/>
        </w:rPr>
        <w:t>».</w:t>
      </w:r>
    </w:p>
    <w:p w14:paraId="10019A32"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28852763"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1744D5C9"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46CA4B2C"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59B2B7F1"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3847740A"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14:paraId="283B7528"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0C0A4AFD"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строительству молочнотоварной фермы на 2000 голов дойного стада вблизи </w:t>
      </w:r>
      <w:proofErr w:type="spellStart"/>
      <w:r w:rsidR="0094395D" w:rsidRPr="00473D5B">
        <w:rPr>
          <w:rFonts w:ascii="Times New Roman" w:eastAsia="Times New Roman" w:hAnsi="Times New Roman" w:cs="Times New Roman"/>
          <w:i/>
          <w:iCs/>
          <w:sz w:val="28"/>
          <w:szCs w:val="28"/>
          <w:lang w:eastAsia="ru-RU"/>
        </w:rPr>
        <w:t>дер.Чурилово</w:t>
      </w:r>
      <w:proofErr w:type="spellEnd"/>
      <w:r w:rsidR="0094395D" w:rsidRPr="00473D5B">
        <w:rPr>
          <w:rFonts w:ascii="Times New Roman" w:eastAsia="Times New Roman" w:hAnsi="Times New Roman" w:cs="Times New Roman"/>
          <w:i/>
          <w:iCs/>
          <w:sz w:val="28"/>
          <w:szCs w:val="28"/>
          <w:lang w:eastAsia="ru-RU"/>
        </w:rPr>
        <w:t xml:space="preserve">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Mark </w:t>
      </w:r>
      <w:proofErr w:type="spellStart"/>
      <w:r w:rsidR="0094395D" w:rsidRPr="00473D5B">
        <w:rPr>
          <w:rFonts w:ascii="Times New Roman" w:eastAsia="Times New Roman" w:hAnsi="Times New Roman" w:cs="Times New Roman"/>
          <w:i/>
          <w:iCs/>
          <w:sz w:val="28"/>
          <w:szCs w:val="28"/>
          <w:lang w:eastAsia="ru-RU"/>
        </w:rPr>
        <w:t>Formelle</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Марк </w:t>
      </w:r>
      <w:proofErr w:type="spellStart"/>
      <w:r w:rsidR="0094395D" w:rsidRPr="00473D5B">
        <w:rPr>
          <w:rFonts w:ascii="Times New Roman" w:eastAsia="Times New Roman" w:hAnsi="Times New Roman" w:cs="Times New Roman"/>
          <w:i/>
          <w:iCs/>
          <w:sz w:val="28"/>
          <w:szCs w:val="28"/>
          <w:lang w:eastAsia="ru-RU"/>
        </w:rPr>
        <w:t>Формэль</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Радошковичский</w:t>
      </w:r>
      <w:proofErr w:type="spellEnd"/>
      <w:r w:rsidR="0094395D" w:rsidRPr="00473D5B">
        <w:rPr>
          <w:rFonts w:ascii="Times New Roman" w:eastAsia="Times New Roman" w:hAnsi="Times New Roman" w:cs="Times New Roman"/>
          <w:i/>
          <w:iCs/>
          <w:spacing w:val="-8"/>
          <w:sz w:val="28"/>
          <w:szCs w:val="28"/>
          <w:lang w:eastAsia="ru-RU"/>
        </w:rPr>
        <w:t xml:space="preserve">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01EB7C05"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42017075"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4C440B87" w14:textId="77777777"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w:t>
      </w:r>
      <w:proofErr w:type="spellStart"/>
      <w:r w:rsidRPr="00473D5B">
        <w:rPr>
          <w:rFonts w:ascii="Times New Roman" w:eastAsia="Times New Roman" w:hAnsi="Times New Roman" w:cs="Times New Roman"/>
          <w:i/>
          <w:iCs/>
          <w:sz w:val="28"/>
          <w:szCs w:val="28"/>
          <w:lang w:eastAsia="ru-RU"/>
        </w:rPr>
        <w:t>чипсовых</w:t>
      </w:r>
      <w:proofErr w:type="spellEnd"/>
      <w:r w:rsidRPr="00473D5B">
        <w:rPr>
          <w:rFonts w:ascii="Times New Roman" w:eastAsia="Times New Roman" w:hAnsi="Times New Roman" w:cs="Times New Roman"/>
          <w:i/>
          <w:iCs/>
          <w:sz w:val="28"/>
          <w:szCs w:val="28"/>
          <w:lang w:eastAsia="ru-RU"/>
        </w:rPr>
        <w:t xml:space="preserve"> сортов (ООО </w:t>
      </w:r>
      <w:r w:rsidR="00F42644">
        <w:rPr>
          <w:rFonts w:ascii="Times New Roman" w:eastAsia="Times New Roman" w:hAnsi="Times New Roman" w:cs="Times New Roman"/>
          <w:i/>
          <w:iCs/>
          <w:sz w:val="28"/>
          <w:szCs w:val="28"/>
          <w:lang w:eastAsia="ru-RU"/>
        </w:rPr>
        <w:t>«</w:t>
      </w:r>
      <w:proofErr w:type="spellStart"/>
      <w:r w:rsidRPr="00473D5B">
        <w:rPr>
          <w:rFonts w:ascii="Times New Roman" w:eastAsia="Times New Roman" w:hAnsi="Times New Roman" w:cs="Times New Roman"/>
          <w:i/>
          <w:iCs/>
          <w:sz w:val="28"/>
          <w:szCs w:val="28"/>
          <w:lang w:eastAsia="ru-RU"/>
        </w:rPr>
        <w:t>Белпродукт</w:t>
      </w:r>
      <w:proofErr w:type="spellEnd"/>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697B0E69"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proofErr w:type="spellStart"/>
      <w:r w:rsidR="0022001F">
        <w:rPr>
          <w:rFonts w:ascii="Times New Roman" w:eastAsia="Calibri" w:hAnsi="Times New Roman" w:cs="Times New Roman"/>
          <w:sz w:val="30"/>
          <w:szCs w:val="30"/>
        </w:rPr>
        <w:t>А.Г.Лукашенко</w:t>
      </w:r>
      <w:proofErr w:type="spellEnd"/>
      <w:r w:rsidR="0022001F">
        <w:rPr>
          <w:rFonts w:ascii="Times New Roman" w:eastAsia="Calibri" w:hAnsi="Times New Roman" w:cs="Times New Roman"/>
          <w:sz w:val="30"/>
          <w:szCs w:val="30"/>
        </w:rPr>
        <w:t xml:space="preserve">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30E4C037"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52AED14D" w14:textId="77777777"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proofErr w:type="spellStart"/>
      <w:r w:rsidR="0094395D" w:rsidRPr="00650537">
        <w:rPr>
          <w:rFonts w:ascii="Times New Roman" w:eastAsia="Times New Roman" w:hAnsi="Times New Roman" w:cs="Times New Roman"/>
          <w:bCs/>
          <w:i/>
          <w:sz w:val="28"/>
          <w:szCs w:val="28"/>
          <w:lang w:eastAsia="ru-RU"/>
        </w:rPr>
        <w:t>Легмаш</w:t>
      </w:r>
      <w:proofErr w:type="spellEnd"/>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proofErr w:type="spellStart"/>
      <w:r w:rsidR="0094395D" w:rsidRPr="00650537">
        <w:rPr>
          <w:rFonts w:ascii="Times New Roman" w:eastAsia="Times New Roman" w:hAnsi="Times New Roman" w:cs="Times New Roman"/>
          <w:i/>
          <w:color w:val="000000"/>
          <w:sz w:val="28"/>
          <w:szCs w:val="28"/>
          <w:lang w:eastAsia="ru-RU"/>
        </w:rPr>
        <w:t>Оршаагропроммаш</w:t>
      </w:r>
      <w:proofErr w:type="spellEnd"/>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17A05037"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7C320E44"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275A4110"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14:paraId="4C7ECE1D"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 xml:space="preserve">Так, в </w:t>
      </w:r>
      <w:proofErr w:type="spellStart"/>
      <w:r w:rsidRPr="00DF0CEC">
        <w:rPr>
          <w:rFonts w:ascii="Times New Roman" w:hAnsi="Times New Roman" w:cs="Times New Roman"/>
          <w:i/>
          <w:spacing w:val="-6"/>
          <w:sz w:val="28"/>
          <w:szCs w:val="28"/>
        </w:rPr>
        <w:t>г.Славгороде</w:t>
      </w:r>
      <w:proofErr w:type="spellEnd"/>
      <w:r w:rsidRPr="00DF0CEC">
        <w:rPr>
          <w:rFonts w:ascii="Times New Roman" w:hAnsi="Times New Roman" w:cs="Times New Roman"/>
          <w:i/>
          <w:spacing w:val="-6"/>
          <w:sz w:val="28"/>
          <w:szCs w:val="28"/>
        </w:rPr>
        <w:t xml:space="preserve">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w:t>
      </w:r>
      <w:proofErr w:type="spellStart"/>
      <w:r w:rsidRPr="00DF0CEC">
        <w:rPr>
          <w:rFonts w:ascii="Times New Roman" w:hAnsi="Times New Roman" w:cs="Times New Roman"/>
          <w:i/>
          <w:spacing w:val="-6"/>
          <w:sz w:val="28"/>
          <w:szCs w:val="28"/>
        </w:rPr>
        <w:t>аг.Макеевичи</w:t>
      </w:r>
      <w:proofErr w:type="spellEnd"/>
      <w:r w:rsidRPr="00DF0CEC">
        <w:rPr>
          <w:rFonts w:ascii="Times New Roman" w:hAnsi="Times New Roman" w:cs="Times New Roman"/>
          <w:i/>
          <w:spacing w:val="-6"/>
          <w:sz w:val="28"/>
          <w:szCs w:val="28"/>
        </w:rPr>
        <w:t xml:space="preserve"> Климовичского района, в деревнях </w:t>
      </w:r>
      <w:proofErr w:type="spellStart"/>
      <w:r w:rsidRPr="00DF0CEC">
        <w:rPr>
          <w:rFonts w:ascii="Times New Roman" w:hAnsi="Times New Roman" w:cs="Times New Roman"/>
          <w:i/>
          <w:spacing w:val="-6"/>
          <w:sz w:val="28"/>
          <w:szCs w:val="28"/>
        </w:rPr>
        <w:t>Лобковичи</w:t>
      </w:r>
      <w:proofErr w:type="spellEnd"/>
      <w:r w:rsidRPr="00DF0CEC">
        <w:rPr>
          <w:rFonts w:ascii="Times New Roman" w:hAnsi="Times New Roman" w:cs="Times New Roman"/>
          <w:i/>
          <w:spacing w:val="-6"/>
          <w:sz w:val="28"/>
          <w:szCs w:val="28"/>
        </w:rPr>
        <w:t xml:space="preserve"> и Сычики Кричевского района, в </w:t>
      </w:r>
      <w:proofErr w:type="spellStart"/>
      <w:r w:rsidRPr="00DF0CEC">
        <w:rPr>
          <w:rFonts w:ascii="Times New Roman" w:hAnsi="Times New Roman" w:cs="Times New Roman"/>
          <w:i/>
          <w:spacing w:val="-6"/>
          <w:sz w:val="28"/>
          <w:szCs w:val="28"/>
        </w:rPr>
        <w:t>дер.Красный</w:t>
      </w:r>
      <w:proofErr w:type="spellEnd"/>
      <w:r w:rsidRPr="00DF0CEC">
        <w:rPr>
          <w:rFonts w:ascii="Times New Roman" w:hAnsi="Times New Roman" w:cs="Times New Roman"/>
          <w:i/>
          <w:spacing w:val="-6"/>
          <w:sz w:val="28"/>
          <w:szCs w:val="28"/>
        </w:rPr>
        <w:t xml:space="preserve">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г.Костюковичи</w:t>
      </w:r>
      <w:proofErr w:type="spellEnd"/>
      <w:r w:rsidRPr="00DF0CEC">
        <w:rPr>
          <w:rFonts w:ascii="Times New Roman" w:hAnsi="Times New Roman" w:cs="Times New Roman"/>
          <w:i/>
          <w:spacing w:val="-6"/>
          <w:sz w:val="28"/>
          <w:szCs w:val="28"/>
        </w:rPr>
        <w:t xml:space="preserve">, сети водоснабжения в районе микрорайонов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Сож</w:t>
      </w:r>
      <w:proofErr w:type="spellEnd"/>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г.Кричеве</w:t>
      </w:r>
      <w:proofErr w:type="spellEnd"/>
      <w:r w:rsidRPr="00DF0CEC">
        <w:rPr>
          <w:rFonts w:ascii="Times New Roman" w:hAnsi="Times New Roman" w:cs="Times New Roman"/>
          <w:i/>
          <w:spacing w:val="-6"/>
          <w:sz w:val="28"/>
          <w:szCs w:val="28"/>
        </w:rPr>
        <w:t>.</w:t>
      </w:r>
    </w:p>
    <w:p w14:paraId="37B61D6E" w14:textId="77777777"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proofErr w:type="spellStart"/>
      <w:r w:rsidR="009616D9">
        <w:rPr>
          <w:rFonts w:ascii="Times New Roman" w:hAnsi="Times New Roman" w:cs="Times New Roman"/>
          <w:b/>
          <w:sz w:val="30"/>
          <w:szCs w:val="30"/>
        </w:rPr>
        <w:t>А.Г.Лукашенко</w:t>
      </w:r>
      <w:proofErr w:type="spellEnd"/>
      <w:r w:rsidR="009616D9">
        <w:rPr>
          <w:rFonts w:ascii="Times New Roman" w:hAnsi="Times New Roman" w:cs="Times New Roman"/>
          <w:b/>
          <w:sz w:val="30"/>
          <w:szCs w:val="30"/>
        </w:rPr>
        <w:t xml:space="preserve">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6093D834"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22DA3B87"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w:t>
      </w:r>
      <w:proofErr w:type="spellStart"/>
      <w:r w:rsidRPr="00E9436A">
        <w:rPr>
          <w:rFonts w:ascii="Times New Roman" w:hAnsi="Times New Roman" w:cs="Times New Roman"/>
          <w:sz w:val="30"/>
          <w:szCs w:val="30"/>
        </w:rPr>
        <w:t>г.Дзержинске</w:t>
      </w:r>
      <w:proofErr w:type="spellEnd"/>
      <w:r w:rsidRPr="00E9436A">
        <w:rPr>
          <w:rFonts w:ascii="Times New Roman" w:hAnsi="Times New Roman" w:cs="Times New Roman"/>
          <w:sz w:val="30"/>
          <w:szCs w:val="30"/>
        </w:rPr>
        <w:t xml:space="preserve">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w:t>
      </w:r>
      <w:proofErr w:type="spellStart"/>
      <w:r w:rsidRPr="00E9436A">
        <w:rPr>
          <w:rFonts w:ascii="Times New Roman" w:hAnsi="Times New Roman" w:cs="Times New Roman"/>
          <w:sz w:val="30"/>
          <w:szCs w:val="30"/>
        </w:rPr>
        <w:t>Семаш</w:t>
      </w:r>
      <w:proofErr w:type="spellEnd"/>
      <w:r w:rsidR="00E9436A">
        <w:rPr>
          <w:rFonts w:ascii="Times New Roman" w:hAnsi="Times New Roman" w:cs="Times New Roman"/>
          <w:sz w:val="30"/>
          <w:szCs w:val="30"/>
        </w:rPr>
        <w:t>»</w:t>
      </w:r>
      <w:r w:rsidRPr="00E9436A">
        <w:rPr>
          <w:rFonts w:ascii="Times New Roman" w:hAnsi="Times New Roman" w:cs="Times New Roman"/>
          <w:sz w:val="30"/>
          <w:szCs w:val="30"/>
        </w:rPr>
        <w:t xml:space="preserve">, в </w:t>
      </w:r>
      <w:proofErr w:type="spellStart"/>
      <w:r w:rsidRPr="00E9436A">
        <w:rPr>
          <w:rFonts w:ascii="Times New Roman" w:hAnsi="Times New Roman" w:cs="Times New Roman"/>
          <w:sz w:val="30"/>
          <w:szCs w:val="30"/>
        </w:rPr>
        <w:t>г.Могилеве</w:t>
      </w:r>
      <w:proofErr w:type="spellEnd"/>
      <w:r w:rsidRPr="00E9436A">
        <w:rPr>
          <w:rFonts w:ascii="Times New Roman" w:hAnsi="Times New Roman" w:cs="Times New Roman"/>
          <w:sz w:val="30"/>
          <w:szCs w:val="30"/>
        </w:rPr>
        <w:t> – технического углерода. На данных производствах создано почти 600 новых рабочих мест.</w:t>
      </w:r>
    </w:p>
    <w:p w14:paraId="292A6E74"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5BDC2BC2"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2887A697"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770EC505"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0CA94CAD" w14:textId="77777777"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55EF4610"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575FBD03"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0EE2F6D5"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3423FB95" w14:textId="77777777"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w:t>
      </w:r>
      <w:proofErr w:type="spellStart"/>
      <w:r>
        <w:rPr>
          <w:rFonts w:ascii="Times New Roman" w:eastAsia="Times New Roman" w:hAnsi="Times New Roman" w:cs="Times New Roman"/>
          <w:i/>
          <w:iCs/>
          <w:kern w:val="28"/>
          <w:sz w:val="28"/>
          <w:szCs w:val="28"/>
        </w:rPr>
        <w:t>г.</w:t>
      </w:r>
      <w:r w:rsidRPr="00570030">
        <w:rPr>
          <w:rFonts w:ascii="Times New Roman" w:eastAsia="Times New Roman" w:hAnsi="Times New Roman" w:cs="Times New Roman"/>
          <w:i/>
          <w:iCs/>
          <w:kern w:val="28"/>
          <w:sz w:val="28"/>
          <w:szCs w:val="28"/>
        </w:rPr>
        <w:t>Минске</w:t>
      </w:r>
      <w:proofErr w:type="spellEnd"/>
      <w:r w:rsidRPr="00570030">
        <w:rPr>
          <w:rFonts w:ascii="Times New Roman" w:eastAsia="Times New Roman" w:hAnsi="Times New Roman" w:cs="Times New Roman"/>
          <w:i/>
          <w:iCs/>
          <w:kern w:val="28"/>
          <w:sz w:val="28"/>
          <w:szCs w:val="28"/>
        </w:rPr>
        <w:t xml:space="preserve">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6377516D"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737BBBAE"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6CDBF06E" w14:textId="77777777"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4CA38D4B"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w:t>
      </w:r>
      <w:proofErr w:type="spellStart"/>
      <w:r w:rsidRPr="009D054E">
        <w:rPr>
          <w:rFonts w:ascii="Times New Roman" w:eastAsia="Times New Roman" w:hAnsi="Times New Roman" w:cs="Times New Roman"/>
          <w:bCs/>
          <w:sz w:val="30"/>
          <w:szCs w:val="30"/>
          <w:lang w:eastAsia="zh-CN"/>
        </w:rPr>
        <w:t>г.Минске</w:t>
      </w:r>
      <w:proofErr w:type="spellEnd"/>
      <w:r w:rsidRPr="009D054E">
        <w:rPr>
          <w:rFonts w:ascii="Times New Roman" w:eastAsia="Times New Roman" w:hAnsi="Times New Roman" w:cs="Times New Roman"/>
          <w:bCs/>
          <w:sz w:val="30"/>
          <w:szCs w:val="30"/>
          <w:lang w:eastAsia="zh-CN"/>
        </w:rPr>
        <w:t xml:space="preserve"> – в 1,3 раза)</w:t>
      </w:r>
      <w:r w:rsidRPr="00CB3F0F">
        <w:rPr>
          <w:rFonts w:ascii="Times New Roman" w:eastAsia="Times New Roman" w:hAnsi="Times New Roman" w:cs="Times New Roman"/>
          <w:bCs/>
          <w:sz w:val="30"/>
          <w:szCs w:val="30"/>
          <w:lang w:eastAsia="zh-CN"/>
        </w:rPr>
        <w:t xml:space="preserve">. </w:t>
      </w:r>
    </w:p>
    <w:p w14:paraId="39704E4A"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247830C5"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31F3BEC6" w14:textId="77777777"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6EEA7729"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 xml:space="preserve">Подключено более 100 населенных пунктов к существующим централизованным системам водоснабжения с водой нормативного качества. Обеспечен перевод </w:t>
      </w:r>
      <w:proofErr w:type="spellStart"/>
      <w:r w:rsidRPr="00E9436A">
        <w:rPr>
          <w:rFonts w:ascii="Times New Roman" w:eastAsia="Times New Roman" w:hAnsi="Times New Roman" w:cs="Times New Roman"/>
          <w:sz w:val="30"/>
          <w:szCs w:val="30"/>
          <w:lang w:eastAsia="ru-RU"/>
        </w:rPr>
        <w:t>г.Минска</w:t>
      </w:r>
      <w:proofErr w:type="spellEnd"/>
      <w:r w:rsidRPr="00E9436A">
        <w:rPr>
          <w:rFonts w:ascii="Times New Roman" w:eastAsia="Times New Roman" w:hAnsi="Times New Roman" w:cs="Times New Roman"/>
          <w:sz w:val="30"/>
          <w:szCs w:val="30"/>
          <w:lang w:eastAsia="ru-RU"/>
        </w:rPr>
        <w:t xml:space="preserve"> на подземные источники водоснабжения.</w:t>
      </w:r>
    </w:p>
    <w:p w14:paraId="33EA59CE"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4083FBB1" w14:textId="77777777"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225B968F" w14:textId="77777777"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w:t>
      </w:r>
      <w:proofErr w:type="spellStart"/>
      <w:r w:rsidRPr="00E9436A">
        <w:rPr>
          <w:rFonts w:ascii="Times New Roman" w:eastAsia="Times New Roman" w:hAnsi="Times New Roman" w:cs="Times New Roman"/>
          <w:sz w:val="30"/>
          <w:szCs w:val="30"/>
          <w:lang w:eastAsia="ru-RU"/>
        </w:rPr>
        <w:t>г.Минске</w:t>
      </w:r>
      <w:proofErr w:type="spellEnd"/>
      <w:r w:rsidRPr="00E9436A">
        <w:rPr>
          <w:rFonts w:ascii="Times New Roman" w:eastAsia="Times New Roman" w:hAnsi="Times New Roman" w:cs="Times New Roman"/>
          <w:sz w:val="30"/>
          <w:szCs w:val="30"/>
          <w:lang w:eastAsia="ru-RU"/>
        </w:rPr>
        <w:t xml:space="preserve">,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proofErr w:type="spellStart"/>
      <w:r w:rsidRPr="00E9436A">
        <w:rPr>
          <w:rFonts w:ascii="Times New Roman" w:eastAsia="Times New Roman" w:hAnsi="Times New Roman" w:cs="Times New Roman"/>
          <w:sz w:val="30"/>
          <w:szCs w:val="30"/>
          <w:lang w:eastAsia="ru-RU"/>
        </w:rPr>
        <w:t>Буйничское</w:t>
      </w:r>
      <w:proofErr w:type="spellEnd"/>
      <w:r w:rsidRPr="00E9436A">
        <w:rPr>
          <w:rFonts w:ascii="Times New Roman" w:eastAsia="Times New Roman" w:hAnsi="Times New Roman" w:cs="Times New Roman"/>
          <w:sz w:val="30"/>
          <w:szCs w:val="30"/>
          <w:lang w:eastAsia="ru-RU"/>
        </w:rPr>
        <w:t xml:space="preserve">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w:t>
      </w:r>
      <w:proofErr w:type="spellStart"/>
      <w:r w:rsidRPr="00E9436A">
        <w:rPr>
          <w:rFonts w:ascii="Times New Roman" w:eastAsia="Times New Roman" w:hAnsi="Times New Roman" w:cs="Times New Roman"/>
          <w:sz w:val="30"/>
          <w:szCs w:val="30"/>
          <w:lang w:eastAsia="ru-RU"/>
        </w:rPr>
        <w:t>г.Могилеве</w:t>
      </w:r>
      <w:proofErr w:type="spellEnd"/>
      <w:r w:rsidRPr="00E9436A">
        <w:rPr>
          <w:rFonts w:ascii="Times New Roman" w:eastAsia="Times New Roman" w:hAnsi="Times New Roman" w:cs="Times New Roman"/>
          <w:sz w:val="30"/>
          <w:szCs w:val="30"/>
          <w:lang w:eastAsia="ru-RU"/>
        </w:rPr>
        <w:t xml:space="preserve">, мемориальный комплекс узникам </w:t>
      </w:r>
      <w:proofErr w:type="spellStart"/>
      <w:r w:rsidRPr="00E9436A">
        <w:rPr>
          <w:rFonts w:ascii="Times New Roman" w:eastAsia="Times New Roman" w:hAnsi="Times New Roman" w:cs="Times New Roman"/>
          <w:sz w:val="30"/>
          <w:szCs w:val="30"/>
          <w:lang w:eastAsia="ru-RU"/>
        </w:rPr>
        <w:t>Озаричского</w:t>
      </w:r>
      <w:proofErr w:type="spellEnd"/>
      <w:r w:rsidRPr="00E9436A">
        <w:rPr>
          <w:rFonts w:ascii="Times New Roman" w:eastAsia="Times New Roman" w:hAnsi="Times New Roman" w:cs="Times New Roman"/>
          <w:sz w:val="30"/>
          <w:szCs w:val="30"/>
          <w:lang w:eastAsia="ru-RU"/>
        </w:rPr>
        <w:t xml:space="preserve"> лагеря смерти в Калинковичском районе Гомельской области.</w:t>
      </w:r>
    </w:p>
    <w:p w14:paraId="2EABBCF3" w14:textId="77777777"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 xml:space="preserve">остроено19 </w:t>
      </w:r>
      <w:proofErr w:type="spellStart"/>
      <w:r w:rsidR="0094395D" w:rsidRPr="00E9436A">
        <w:rPr>
          <w:rFonts w:ascii="Times New Roman" w:eastAsia="Times New Roman" w:hAnsi="Times New Roman" w:cs="Times New Roman"/>
          <w:sz w:val="30"/>
          <w:szCs w:val="30"/>
          <w:lang w:eastAsia="ru-RU"/>
        </w:rPr>
        <w:t>ФОКов</w:t>
      </w:r>
      <w:proofErr w:type="spellEnd"/>
      <w:r w:rsidR="0094395D" w:rsidRPr="00E9436A">
        <w:rPr>
          <w:rFonts w:ascii="Times New Roman" w:eastAsia="Times New Roman" w:hAnsi="Times New Roman" w:cs="Times New Roman"/>
          <w:sz w:val="30"/>
          <w:szCs w:val="30"/>
          <w:lang w:eastAsia="ru-RU"/>
        </w:rPr>
        <w:t>, завершены работы по 41 объекту спортивной инфраструктуры.</w:t>
      </w:r>
    </w:p>
    <w:p w14:paraId="0D7C7752"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7AFA2B60"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6A5EF09E" w14:textId="77777777"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14:paraId="5741C938" w14:textId="77777777"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1"/>
    <w:p w14:paraId="11D151CC"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263BBA88"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5C6FA874"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429E5B0F"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50181E06"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4844A246"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0C1225F5"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2F46E945"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4E6FB78F"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14:paraId="2EE1CB55"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27424250"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33F6C703"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1D3D90AA"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5DE383AD"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 xml:space="preserve">Гродненской области – </w:t>
      </w:r>
      <w:proofErr w:type="spellStart"/>
      <w:r w:rsidRPr="00E9436A">
        <w:rPr>
          <w:rFonts w:ascii="Times New Roman" w:hAnsi="Times New Roman" w:cs="Times New Roman"/>
          <w:b/>
          <w:sz w:val="30"/>
          <w:szCs w:val="30"/>
        </w:rPr>
        <w:t>Принеманский</w:t>
      </w:r>
      <w:proofErr w:type="spellEnd"/>
      <w:r w:rsidRPr="00E9436A">
        <w:rPr>
          <w:rFonts w:ascii="Times New Roman" w:hAnsi="Times New Roman" w:cs="Times New Roman"/>
          <w:b/>
          <w:sz w:val="30"/>
          <w:szCs w:val="30"/>
        </w:rPr>
        <w:t xml:space="preserve">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E9436A">
        <w:rPr>
          <w:rFonts w:ascii="Times New Roman" w:hAnsi="Times New Roman" w:cs="Times New Roman"/>
          <w:sz w:val="30"/>
          <w:szCs w:val="30"/>
        </w:rPr>
        <w:t>Принеманского</w:t>
      </w:r>
      <w:proofErr w:type="spellEnd"/>
      <w:r w:rsidRPr="00E9436A">
        <w:rPr>
          <w:rFonts w:ascii="Times New Roman" w:hAnsi="Times New Roman" w:cs="Times New Roman"/>
          <w:sz w:val="30"/>
          <w:szCs w:val="30"/>
        </w:rPr>
        <w:t xml:space="preserve">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7C3F6D58"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2852BF9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098C7F4A"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6DFBEA49"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14:paraId="7457D965"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693BE0AA"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3926C608"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1F87E671"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 xml:space="preserve">городов-спутников </w:t>
      </w:r>
      <w:proofErr w:type="spellStart"/>
      <w:r w:rsidRPr="00404911">
        <w:rPr>
          <w:rFonts w:ascii="Times New Roman" w:hAnsi="Times New Roman" w:cs="Times New Roman"/>
          <w:b/>
          <w:spacing w:val="-4"/>
          <w:sz w:val="30"/>
          <w:szCs w:val="30"/>
        </w:rPr>
        <w:t>г.Минска</w:t>
      </w:r>
      <w:proofErr w:type="spellEnd"/>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3BA0461B"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0EAE5779"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515E7261"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2F56E0A3"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32F4882F"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6A194B0A"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6760A1E9"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01305B57"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372CB71A"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49793783"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4A538471"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010CB374"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5F4D18CB"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2BBD11AB"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14:paraId="0F5B9DF9"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48C80C8F"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3D969F25"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56641612"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58AFA341"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6516D1F9"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w:t>
      </w:r>
      <w:proofErr w:type="spellStart"/>
      <w:r w:rsidRPr="00E9436A">
        <w:rPr>
          <w:rFonts w:ascii="Times New Roman" w:hAnsi="Times New Roman" w:cs="Times New Roman"/>
          <w:sz w:val="30"/>
          <w:szCs w:val="30"/>
        </w:rPr>
        <w:t>А.Г.Лукашенко</w:t>
      </w:r>
      <w:proofErr w:type="spellEnd"/>
      <w:r w:rsidRPr="00E9436A">
        <w:rPr>
          <w:rFonts w:ascii="Times New Roman" w:hAnsi="Times New Roman" w:cs="Times New Roman"/>
          <w:sz w:val="30"/>
          <w:szCs w:val="30"/>
        </w:rPr>
        <w:t xml:space="preserve">: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378223BC"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16A1BAD1"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0F7B" w14:textId="77777777" w:rsidR="00251826" w:rsidRDefault="00251826" w:rsidP="00690D8D">
      <w:pPr>
        <w:spacing w:after="0" w:line="240" w:lineRule="auto"/>
      </w:pPr>
      <w:r>
        <w:separator/>
      </w:r>
    </w:p>
  </w:endnote>
  <w:endnote w:type="continuationSeparator" w:id="0">
    <w:p w14:paraId="6D7ABE7A" w14:textId="77777777" w:rsidR="00251826" w:rsidRDefault="00251826"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5008" w14:textId="77777777" w:rsidR="00251826" w:rsidRDefault="00251826" w:rsidP="00690D8D">
      <w:pPr>
        <w:spacing w:after="0" w:line="240" w:lineRule="auto"/>
      </w:pPr>
      <w:r>
        <w:separator/>
      </w:r>
    </w:p>
  </w:footnote>
  <w:footnote w:type="continuationSeparator" w:id="0">
    <w:p w14:paraId="0AAEFF85" w14:textId="77777777" w:rsidR="00251826" w:rsidRDefault="00251826"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83145"/>
      <w:docPartObj>
        <w:docPartGallery w:val="Page Numbers (Top of Page)"/>
        <w:docPartUnique/>
      </w:docPartObj>
    </w:sdtPr>
    <w:sdtContent>
      <w:p w14:paraId="15B3E3F1"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313C46FB"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52CA"/>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182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07CD0"/>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061E"/>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Каленкович</cp:lastModifiedBy>
  <cp:revision>2</cp:revision>
  <cp:lastPrinted>2026-02-26T12:56:00Z</cp:lastPrinted>
  <dcterms:created xsi:type="dcterms:W3CDTF">2026-03-16T09:09:00Z</dcterms:created>
  <dcterms:modified xsi:type="dcterms:W3CDTF">2026-03-16T09:09:00Z</dcterms:modified>
</cp:coreProperties>
</file>